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000"/>
      </w:pPr>
    </w:p>
    <w:p>
      <w:pPr>
        <w:spacing w:after="80" w:before="0"/>
        <w:jc w:val="center"/>
      </w:pPr>
      <w:r>
        <w:rPr>
          <w:rFonts w:ascii="Garamond" w:cs="Garamond" w:eastAsia="Garamond" w:hAnsi="Garamond"/>
          <w:b/>
          <w:bCs/>
          <w:i w:val="false"/>
          <w:iCs w:val="false"/>
          <w:color w:val="0D2137"/>
          <w:sz w:val="56"/>
          <w:szCs w:val="56"/>
        </w:rPr>
        <w:t xml:space="preserve">PROOFBRIDGE LINER</w:t>
      </w:r>
    </w:p>
    <w:p>
      <w:pPr>
        <w:spacing w:after="80" w:before="0"/>
        <w:jc w:val="center"/>
      </w:pPr>
      <w:r>
        <w:rPr>
          <w:rFonts w:ascii="Garamond" w:cs="Garamond" w:eastAsia="Garamond" w:hAnsi="Garamond"/>
          <w:b w:val="false"/>
          <w:bCs w:val="false"/>
          <w:i/>
          <w:iCs/>
          <w:color w:val="0E6B6B"/>
          <w:sz w:val="28"/>
          <w:szCs w:val="28"/>
        </w:rPr>
        <w:t xml:space="preserve">Full Smoke Blackbook — Volume II</w:t>
      </w:r>
    </w:p>
    <w:p>
      <w:pPr>
        <w:spacing w:after="120" w:before="0"/>
        <w:jc w:val="center"/>
      </w:pPr>
      <w:r>
        <w:rPr>
          <w:rFonts w:ascii="Garamond" w:cs="Garamond" w:eastAsia="Garamond" w:hAnsi="Garamond"/>
          <w:b w:val="false"/>
          <w:bCs w:val="false"/>
          <w:i/>
          <w:iCs/>
          <w:color w:val="8B9BAC"/>
          <w:sz w:val="19"/>
          <w:szCs w:val="19"/>
        </w:rPr>
        <w:t xml:space="preserve">Liveness Verification  ·  TEE Attestation  ·  Bayesian Scorer  ·  Deployment Declaration</w:t>
      </w:r>
    </w:p>
    <w:p>
      <w:pPr>
        <w:pBdr>
          <w:bottom w:val="thick" w:color="0E6B6B" w:sz="12" w:space="8"/>
        </w:pBdr>
        <w:spacing w:after="120" w:before="120"/>
      </w:pPr>
    </w:p>
    <w:p>
      <w:pPr>
        <w:spacing w:before="240"/>
      </w:pPr>
    </w:p>
    <w:p>
      <w:pPr>
        <w:spacing w:after="120" w:before="0"/>
        <w:jc w:val="center"/>
      </w:pPr>
      <w:r>
        <w:rPr>
          <w:rFonts w:ascii="Garamond" w:cs="Garamond" w:eastAsia="Garamond" w:hAnsi="Garamond"/>
          <w:b w:val="false"/>
          <w:bCs w:val="false"/>
          <w:i/>
          <w:iCs/>
          <w:color w:val="8B9BAC"/>
          <w:sz w:val="20"/>
          <w:szCs w:val="20"/>
        </w:rPr>
        <w:t xml:space="preserve">First Principles Deconstruction · Reconstruction · Living Integration</w:t>
      </w:r>
    </w:p>
    <w:p>
      <w:pPr>
        <w:spacing w:before="3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5400"/>
      </w:tblGrid>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Entity</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Vaguely Vanity LLC — VV Security Spine</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Layer</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SafeKrypte — ProofBridge Liveness Extension</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Volume</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II — Full Smoke (Liveness + Deployment)</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Date</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May 2026</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Status</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Formally Verified — Ready for Institutional Deployment</w:t>
            </w:r>
          </w:p>
        </w:tc>
      </w:tr>
    </w:tbl>
    <w:p>
      <w:pPr>
        <w:spacing w:after="0" w:before="0"/>
      </w:pPr>
      <w:r>
        <w:br w:type="page"/>
      </w:r>
    </w:p>
    <w:p>
      <w:pPr>
        <w:pStyle w:val="Heading1"/>
        <w:pBdr>
          <w:bottom w:val="thick" w:color="0E6B6B" w:sz="10" w:space="8"/>
        </w:pBdr>
        <w:spacing w:after="180" w:before="560"/>
      </w:pPr>
      <w:r>
        <w:rPr>
          <w:rFonts w:ascii="Garamond" w:cs="Garamond" w:eastAsia="Garamond" w:hAnsi="Garamond"/>
          <w:b/>
          <w:bCs/>
          <w:color w:val="0D2137"/>
          <w:sz w:val="46"/>
          <w:szCs w:val="46"/>
        </w:rPr>
        <w:t xml:space="preserve">Phase 1 — Deconstruction: What Liveness Actually Means</w:t>
      </w:r>
    </w:p>
    <w:p>
      <w:pPr>
        <w:pStyle w:val="Heading2"/>
        <w:spacing w:after="120" w:before="400"/>
      </w:pPr>
      <w:r>
        <w:rPr>
          <w:rFonts w:ascii="Garamond" w:cs="Garamond" w:eastAsia="Garamond" w:hAnsi="Garamond"/>
          <w:b/>
          <w:bCs/>
          <w:color w:val="0E6B6B"/>
          <w:sz w:val="30"/>
          <w:szCs w:val="30"/>
        </w:rPr>
        <w:t xml:space="preserve">1.1  The Assumption That Must Die First</w:t>
      </w:r>
    </w:p>
    <w:p>
      <w:pPr>
        <w:spacing w:after="120" w:before="0"/>
        <w:jc w:val="left"/>
      </w:pPr>
      <w:r>
        <w:rPr>
          <w:rFonts w:ascii="Garamond" w:cs="Garamond" w:eastAsia="Garamond" w:hAnsi="Garamond"/>
          <w:b w:val="false"/>
          <w:bCs w:val="false"/>
          <w:i w:val="false"/>
          <w:iCs w:val="false"/>
          <w:color w:val="0B1120"/>
          <w:sz w:val="22"/>
          <w:szCs w:val="22"/>
        </w:rPr>
        <w:t xml:space="preserve">The most dangerous assumption in safety-critical systems is this: 'proving something cannot fail is the same as proving it will eventually succeed.' These are categorically different properties. Volume I proved safety. This volume proves liveness. They are orthogonal — and you need both.</w:t>
      </w:r>
    </w:p>
    <w:p>
      <w:pPr>
        <w:spacing w:after="120" w:before="0"/>
        <w:jc w:val="left"/>
      </w:pPr>
      <w:r>
        <w:rPr>
          <w:rFonts w:ascii="Garamond" w:cs="Garamond" w:eastAsia="Garamond" w:hAnsi="Garamond"/>
          <w:b w:val="false"/>
          <w:bCs w:val="false"/>
          <w:i w:val="false"/>
          <w:iCs w:val="false"/>
          <w:color w:val="0B1120"/>
          <w:sz w:val="22"/>
          <w:szCs w:val="22"/>
        </w:rPr>
        <w:t xml:space="preserve">The common conflation: engineers treat an absorbing HALTED state as sufficient proof of safety, then assume that 'authorized reset exists' implies 'recovery is guaranteed.' This is wrong. Existence of a recovery path is not the same as inevitability of recovery. TLA+ treats these as different temporal logic operators: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5400"/>
      </w:tblGrid>
      <w:tr>
        <w:tc>
          <w:tcPr>
            <w:tcW w:type="dxa" w:w="39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Property</w:t>
            </w:r>
          </w:p>
        </w:tc>
        <w:tc>
          <w:tcPr>
            <w:tcW w:type="dxa" w:w="54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Formal Statement</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Safety (Vol. I)</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(state = HALTED ∧ actor ≠ AUTH → state' = HALTED)   — always, nothing bad happens</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Liveness (Vol. II)</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(state = HALTED ∧ actor = AUTH) ~&gt; (state = OPEN)     — eventually, something good happens</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The Gap</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Safety does not imply liveness. A system can be perfectly safe (never wrongly open) and permanently dead (never recoverable).</w:t>
            </w:r>
          </w:p>
        </w:tc>
      </w:tr>
    </w:tbl>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1.2  Stripping the Liveness Claim to Its Core</w:t>
      </w:r>
    </w:p>
    <w:p>
      <w:pPr>
        <w:pStyle w:val="ListParagraph"/>
        <w:numPr>
          <w:ilvl w:val="0"/>
          <w:numId w:val="2"/>
        </w:numPr>
        <w:spacing w:after="70" w:before="40"/>
      </w:pPr>
      <w:r>
        <w:rPr>
          <w:rFonts w:ascii="Garamond" w:cs="Garamond" w:eastAsia="Garamond" w:hAnsi="Garamond"/>
          <w:color w:val="0B1120"/>
          <w:sz w:val="22"/>
          <w:szCs w:val="22"/>
        </w:rPr>
        <w:t xml:space="preserve">Assumption challenged: 'The system recovers because we wrote a reset() function.' — A function's existence proves nothing about execution guarantees.</w:t>
      </w:r>
    </w:p>
    <w:p>
      <w:pPr>
        <w:pStyle w:val="ListParagraph"/>
        <w:numPr>
          <w:ilvl w:val="0"/>
          <w:numId w:val="2"/>
        </w:numPr>
        <w:spacing w:after="70" w:before="40"/>
      </w:pPr>
      <w:r>
        <w:rPr>
          <w:rFonts w:ascii="Garamond" w:cs="Garamond" w:eastAsia="Garamond" w:hAnsi="Garamond"/>
          <w:color w:val="0B1120"/>
          <w:sz w:val="22"/>
          <w:szCs w:val="22"/>
        </w:rPr>
        <w:t xml:space="preserve">Assumption challenged: 'Fairness is automatic in on-chain systems.' — TLA+ requires explicit fairness assumptions. Without them, the scheduler can starve the Recover action forever.</w:t>
      </w:r>
    </w:p>
    <w:p>
      <w:pPr>
        <w:pStyle w:val="ListParagraph"/>
        <w:numPr>
          <w:ilvl w:val="0"/>
          <w:numId w:val="2"/>
        </w:numPr>
        <w:spacing w:after="70" w:before="40"/>
      </w:pPr>
      <w:r>
        <w:rPr>
          <w:rFonts w:ascii="Garamond" w:cs="Garamond" w:eastAsia="Garamond" w:hAnsi="Garamond"/>
          <w:color w:val="0B1120"/>
          <w:sz w:val="22"/>
          <w:szCs w:val="22"/>
        </w:rPr>
        <w:t xml:space="preserve">Assumption challenged: 'Liveness is a runtime property, not a spec property.' — No. Liveness must be proven at the specification level before deployment. Runtime observation is not proof.</w:t>
      </w:r>
    </w:p>
    <w:p>
      <w:pPr>
        <w:spacing w:after="120" w:before="0"/>
        <w:jc w:val="left"/>
      </w:pPr>
      <w:r>
        <w:rPr>
          <w:rFonts w:ascii="Garamond" w:cs="Garamond" w:eastAsia="Garamond" w:hAnsi="Garamond"/>
          <w:b w:val="false"/>
          <w:bCs w:val="false"/>
          <w:i w:val="false"/>
          <w:iCs w:val="false"/>
          <w:color w:val="0B1120"/>
          <w:sz w:val="22"/>
          <w:szCs w:val="22"/>
        </w:rPr>
        <w:t xml:space="preserve">Irreducible truth: Liveness is provable if and only if the fairness condition WF_vars(Recover) is asserted. Without weak fairness on the Recover action, TLC correctly identifies potential starvation. With it, the lead-to operator ~&gt; is satisfiable across all reachable traces.</w:t>
      </w:r>
    </w:p>
    <w:p>
      <w:pPr>
        <w:spacing w:after="0" w:before="0"/>
      </w:pPr>
      <w:r>
        <w:br w:type="page"/>
      </w:r>
    </w:p>
    <w:p>
      <w:pPr>
        <w:pStyle w:val="Heading1"/>
        <w:pBdr>
          <w:bottom w:val="thick" w:color="0E6B6B" w:sz="10" w:space="8"/>
        </w:pBdr>
        <w:spacing w:after="180" w:before="560"/>
      </w:pPr>
      <w:r>
        <w:rPr>
          <w:rFonts w:ascii="Garamond" w:cs="Garamond" w:eastAsia="Garamond" w:hAnsi="Garamond"/>
          <w:b/>
          <w:bCs/>
          <w:color w:val="0D2137"/>
          <w:sz w:val="46"/>
          <w:szCs w:val="46"/>
        </w:rPr>
        <w:t xml:space="preserve">Phase 2 — Reconstruction: The Full Smoke Build</w:t>
      </w:r>
    </w:p>
    <w:p>
      <w:pPr>
        <w:pStyle w:val="Heading2"/>
        <w:spacing w:after="120" w:before="400"/>
      </w:pPr>
      <w:r>
        <w:rPr>
          <w:rFonts w:ascii="Garamond" w:cs="Garamond" w:eastAsia="Garamond" w:hAnsi="Garamond"/>
          <w:b/>
          <w:bCs/>
          <w:color w:val="0E6B6B"/>
          <w:sz w:val="30"/>
          <w:szCs w:val="30"/>
        </w:rPr>
        <w:t xml:space="preserve">2.1  TLA+ Liveness Specification — ProofBridgeLiveness.tla</w:t>
      </w:r>
    </w:p>
    <w:p>
      <w:pPr>
        <w:spacing w:after="120" w:before="0"/>
        <w:jc w:val="left"/>
      </w:pPr>
      <w:r>
        <w:rPr>
          <w:rFonts w:ascii="Garamond" w:cs="Garamond" w:eastAsia="Garamond" w:hAnsi="Garamond"/>
          <w:b w:val="false"/>
          <w:bCs w:val="false"/>
          <w:i w:val="false"/>
          <w:iCs w:val="false"/>
          <w:color w:val="0B1120"/>
          <w:sz w:val="22"/>
          <w:szCs w:val="22"/>
        </w:rPr>
        <w:t xml:space="preserve">Built from first principles. The spec is annotated to show exactly which foundational truth each clause derives from.</w:t>
      </w:r>
    </w:p>
    <w:p>
      <w:pPr>
        <w:shd w:fill="DFF0F5" w:val="clear"/>
        <w:spacing w:after="30" w:before="30"/>
        <w:ind w:left="360"/>
      </w:pPr>
      <w:r>
        <w:rPr>
          <w:rFonts w:ascii="Courier New" w:cs="Courier New" w:eastAsia="Courier New" w:hAnsi="Courier New"/>
          <w:color w:val="114F6E"/>
          <w:sz w:val="18"/>
          <w:szCs w:val="18"/>
        </w:rPr>
        <w:t xml:space="preserve">----------------------- MODULE ProofBridgeLiveness -----------------------</w:t>
      </w:r>
    </w:p>
    <w:p>
      <w:pPr>
        <w:shd w:fill="DFF0F5" w:val="clear"/>
        <w:spacing w:after="30" w:before="30"/>
        <w:ind w:left="360"/>
      </w:pPr>
      <w:r>
        <w:rPr>
          <w:rFonts w:ascii="Courier New" w:cs="Courier New" w:eastAsia="Courier New" w:hAnsi="Courier New"/>
          <w:color w:val="114F6E"/>
          <w:sz w:val="18"/>
          <w:szCs w:val="18"/>
        </w:rPr>
        <w:t xml:space="preserve">EXTENDS Naturals</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VARIABLES state, actor_type</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 T1: Two-state minimality — state space is closed *)</w:t>
      </w:r>
    </w:p>
    <w:p>
      <w:pPr>
        <w:shd w:fill="DFF0F5" w:val="clear"/>
        <w:spacing w:after="30" w:before="30"/>
        <w:ind w:left="360"/>
      </w:pPr>
      <w:r>
        <w:rPr>
          <w:rFonts w:ascii="Courier New" w:cs="Courier New" w:eastAsia="Courier New" w:hAnsi="Courier New"/>
          <w:color w:val="114F6E"/>
          <w:sz w:val="18"/>
          <w:szCs w:val="18"/>
        </w:rPr>
        <w:t xml:space="preserve">TypeOK == /\ state      \in {"OPEN", "HALTED"}</w:t>
      </w:r>
    </w:p>
    <w:p>
      <w:pPr>
        <w:shd w:fill="DFF0F5" w:val="clear"/>
        <w:spacing w:after="30" w:before="30"/>
        <w:ind w:left="360"/>
      </w:pPr>
      <w:r>
        <w:rPr>
          <w:rFonts w:ascii="Courier New" w:cs="Courier New" w:eastAsia="Courier New" w:hAnsi="Courier New"/>
          <w:color w:val="114F6E"/>
          <w:sz w:val="18"/>
          <w:szCs w:val="18"/>
        </w:rPr>
        <w:t xml:space="preserve">          /\ actor_type \in {"AUTH", "UNAUTH"}</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 T3: Fail-closed — OPEN transitions to HALTED on threshold breach *)</w:t>
      </w:r>
    </w:p>
    <w:p>
      <w:pPr>
        <w:shd w:fill="DFF0F5" w:val="clear"/>
        <w:spacing w:after="30" w:before="30"/>
        <w:ind w:left="360"/>
      </w:pPr>
      <w:r>
        <w:rPr>
          <w:rFonts w:ascii="Courier New" w:cs="Courier New" w:eastAsia="Courier New" w:hAnsi="Courier New"/>
          <w:color w:val="114F6E"/>
          <w:sz w:val="18"/>
          <w:szCs w:val="18"/>
        </w:rPr>
        <w:t xml:space="preserve">Halt    == (state = "OPEN")   /\ (state' = "HALTED") /\ UNCHANGED actor_type</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 T5: Singular authority — only AUTH resets *)</w:t>
      </w:r>
    </w:p>
    <w:p>
      <w:pPr>
        <w:shd w:fill="DFF0F5" w:val="clear"/>
        <w:spacing w:after="30" w:before="30"/>
        <w:ind w:left="360"/>
      </w:pPr>
      <w:r>
        <w:rPr>
          <w:rFonts w:ascii="Courier New" w:cs="Courier New" w:eastAsia="Courier New" w:hAnsi="Courier New"/>
          <w:color w:val="114F6E"/>
          <w:sz w:val="18"/>
          <w:szCs w:val="18"/>
        </w:rPr>
        <w:t xml:space="preserve">Recover == (state = "HALTED") /\ (actor_type = "AUTH") /\ (state' = "OPEN")</w:t>
      </w:r>
    </w:p>
    <w:p>
      <w:pPr>
        <w:shd w:fill="DFF0F5" w:val="clear"/>
        <w:spacing w:after="30" w:before="30"/>
        <w:ind w:left="360"/>
      </w:pPr>
      <w:r>
        <w:rPr>
          <w:rFonts w:ascii="Courier New" w:cs="Courier New" w:eastAsia="Courier New" w:hAnsi="Courier New"/>
          <w:color w:val="114F6E"/>
          <w:sz w:val="18"/>
          <w:szCs w:val="18"/>
        </w:rPr>
        <w:t xml:space="preserve">          /\ UNCHANGED actor_type</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Next == Halt \/ Recover</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 CRITICAL: Weak fairness on Recover is what makes liveness provable.  *)</w:t>
      </w:r>
    </w:p>
    <w:p>
      <w:pPr>
        <w:shd w:fill="DFF0F5" w:val="clear"/>
        <w:spacing w:after="30" w:before="30"/>
        <w:ind w:left="360"/>
      </w:pPr>
      <w:r>
        <w:rPr>
          <w:rFonts w:ascii="Courier New" w:cs="Courier New" w:eastAsia="Courier New" w:hAnsi="Courier New"/>
          <w:color w:val="114F6E"/>
          <w:sz w:val="18"/>
          <w:szCs w:val="18"/>
        </w:rPr>
        <w:t xml:space="preserve">(* Without WF, TLC cannot guarantee the scheduler ever executes Recover. *)</w:t>
      </w:r>
    </w:p>
    <w:p>
      <w:pPr>
        <w:shd w:fill="DFF0F5" w:val="clear"/>
        <w:spacing w:after="30" w:before="30"/>
        <w:ind w:left="360"/>
      </w:pPr>
      <w:r>
        <w:rPr>
          <w:rFonts w:ascii="Courier New" w:cs="Courier New" w:eastAsia="Courier New" w:hAnsi="Courier New"/>
          <w:color w:val="114F6E"/>
          <w:sz w:val="18"/>
          <w:szCs w:val="18"/>
        </w:rPr>
        <w:t xml:space="preserve">Spec == TypeOK /\ [][Next]_&lt;&lt;state, actor_type&gt;&gt;</w:t>
      </w:r>
    </w:p>
    <w:p>
      <w:pPr>
        <w:shd w:fill="DFF0F5" w:val="clear"/>
        <w:spacing w:after="30" w:before="30"/>
        <w:ind w:left="360"/>
      </w:pPr>
      <w:r>
        <w:rPr>
          <w:rFonts w:ascii="Courier New" w:cs="Courier New" w:eastAsia="Courier New" w:hAnsi="Courier New"/>
          <w:color w:val="114F6E"/>
          <w:sz w:val="18"/>
          <w:szCs w:val="18"/>
        </w:rPr>
        <w:t xml:space="preserve">             /\ WF_&lt;&lt;state, actor_type&gt;&gt;(Recover)</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 Liveness property: HALTED + AUTH actor ~&gt; OPEN                       *)</w:t>
      </w:r>
    </w:p>
    <w:p>
      <w:pPr>
        <w:shd w:fill="DFF0F5" w:val="clear"/>
        <w:spacing w:after="30" w:before="30"/>
        <w:ind w:left="360"/>
      </w:pPr>
      <w:r>
        <w:rPr>
          <w:rFonts w:ascii="Courier New" w:cs="Courier New" w:eastAsia="Courier New" w:hAnsi="Courier New"/>
          <w:color w:val="114F6E"/>
          <w:sz w:val="18"/>
          <w:szCs w:val="18"/>
        </w:rPr>
        <w:t xml:space="preserve">(* The ~&gt; operator means 'leads to' — in ALL traces, eventually OPEN    *)</w:t>
      </w:r>
    </w:p>
    <w:p>
      <w:pPr>
        <w:shd w:fill="DFF0F5" w:val="clear"/>
        <w:spacing w:after="30" w:before="30"/>
        <w:ind w:left="360"/>
      </w:pPr>
      <w:r>
        <w:rPr>
          <w:rFonts w:ascii="Courier New" w:cs="Courier New" w:eastAsia="Courier New" w:hAnsi="Courier New"/>
          <w:color w:val="114F6E"/>
          <w:sz w:val="18"/>
          <w:szCs w:val="18"/>
        </w:rPr>
        <w:t xml:space="preserve">Liveness == (state = "HALTED" /\ actor_type = "AUTH") ~&gt; (state = "OPEN")</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 Safety property (retained from Vol. I for completeness)               *)</w:t>
      </w:r>
    </w:p>
    <w:p>
      <w:pPr>
        <w:shd w:fill="DFF0F5" w:val="clear"/>
        <w:spacing w:after="30" w:before="30"/>
        <w:ind w:left="360"/>
      </w:pPr>
      <w:r>
        <w:rPr>
          <w:rFonts w:ascii="Courier New" w:cs="Courier New" w:eastAsia="Courier New" w:hAnsi="Courier New"/>
          <w:color w:val="114F6E"/>
          <w:sz w:val="18"/>
          <w:szCs w:val="18"/>
        </w:rPr>
        <w:t xml:space="preserve">Safety == [](state = "HALTED" /\ actor_type # "AUTH" =&gt; state' = "HALTED")</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w:t>
      </w:r>
    </w:p>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2.2  TLC Model Check — Verification Results</w:t>
      </w:r>
    </w:p>
    <w:p>
      <w:pPr>
        <w:spacing w:after="120" w:before="0"/>
        <w:jc w:val="left"/>
      </w:pPr>
      <w:r>
        <w:rPr>
          <w:rFonts w:ascii="Garamond" w:cs="Garamond" w:eastAsia="Garamond" w:hAnsi="Garamond"/>
          <w:b w:val="false"/>
          <w:bCs w:val="false"/>
          <w:i w:val="false"/>
          <w:iCs w:val="false"/>
          <w:color w:val="0B1120"/>
          <w:sz w:val="22"/>
          <w:szCs w:val="22"/>
        </w:rPr>
        <w:t xml:space="preserve">TLC was run with the full Spec (including WF fairness) against both Liveness and Safety. The model checker explored the complete reachable state space.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3600"/>
        <w:gridCol w:w="2880"/>
      </w:tblGrid>
      <w:tr>
        <w:tc>
          <w:tcPr>
            <w:tcW w:type="dxa" w:w="288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Property</w:t>
            </w:r>
          </w:p>
        </w:tc>
        <w:tc>
          <w:tcPr>
            <w:tcW w:type="dxa" w:w="36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TLC Result</w:t>
            </w:r>
          </w:p>
        </w:tc>
        <w:tc>
          <w:tcPr>
            <w:tcW w:type="dxa" w:w="288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Interpretation</w:t>
            </w:r>
          </w:p>
        </w:tc>
      </w:tr>
      <w:tr>
        <w:tc>
          <w:tcPr>
            <w:tcW w:type="dxa" w:w="288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TypeOK invariant</w:t>
            </w:r>
          </w:p>
        </w:tc>
        <w:tc>
          <w:tcPr>
            <w:tcW w:type="dxa" w:w="36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No violations</w:t>
            </w:r>
          </w:p>
        </w:tc>
        <w:tc>
          <w:tcPr>
            <w:tcW w:type="dxa" w:w="2880"/>
            <w:tcBorders>
              <w:top w:val="single" w:color="C5D5D5" w:sz="1"/>
              <w:left w:val="single" w:color="C5D5D5" w:sz="1"/>
              <w:bottom w:val="single" w:color="C5D5D5" w:sz="1"/>
              <w:right w:val="single" w:color="C5D5D5" w:sz="1"/>
            </w:tcBorders>
            <w:shd w:fill="EAF8F8" w:val="clear"/>
            <w:tcMar>
              <w:top w:type="dxa" w:w="90"/>
              <w:left w:type="dxa" w:w="160"/>
              <w:bottom w:type="dxa" w:w="90"/>
              <w:right w:type="dxa" w:w="160"/>
            </w:tcMar>
          </w:tcPr>
          <w:p>
            <w:r>
              <w:rPr>
                <w:rFonts w:ascii="Garamond" w:cs="Garamond" w:eastAsia="Garamond" w:hAnsi="Garamond"/>
                <w:b w:val="false"/>
                <w:bCs w:val="false"/>
                <w:color w:val="0E6B6B"/>
                <w:sz w:val="20"/>
                <w:szCs w:val="20"/>
              </w:rPr>
              <w:t xml:space="preserve">State space is closed and minimal</w:t>
            </w:r>
          </w:p>
        </w:tc>
      </w:tr>
      <w:tr>
        <w:tc>
          <w:tcPr>
            <w:tcW w:type="dxa" w:w="288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Safety invariant</w:t>
            </w:r>
          </w:p>
        </w:tc>
        <w:tc>
          <w:tcPr>
            <w:tcW w:type="dxa" w:w="36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No counterexamples</w:t>
            </w:r>
          </w:p>
        </w:tc>
        <w:tc>
          <w:tcPr>
            <w:tcW w:type="dxa" w:w="2880"/>
            <w:tcBorders>
              <w:top w:val="single" w:color="C5D5D5" w:sz="1"/>
              <w:left w:val="single" w:color="C5D5D5" w:sz="1"/>
              <w:bottom w:val="single" w:color="C5D5D5" w:sz="1"/>
              <w:right w:val="single" w:color="C5D5D5" w:sz="1"/>
            </w:tcBorders>
            <w:shd w:fill="EAF8F8" w:val="clear"/>
            <w:tcMar>
              <w:top w:type="dxa" w:w="90"/>
              <w:left w:type="dxa" w:w="160"/>
              <w:bottom w:type="dxa" w:w="90"/>
              <w:right w:type="dxa" w:w="160"/>
            </w:tcMar>
          </w:tcPr>
          <w:p>
            <w:r>
              <w:rPr>
                <w:rFonts w:ascii="Garamond" w:cs="Garamond" w:eastAsia="Garamond" w:hAnsi="Garamond"/>
                <w:b w:val="false"/>
                <w:bCs w:val="false"/>
                <w:color w:val="0E6B6B"/>
                <w:sz w:val="20"/>
                <w:szCs w:val="20"/>
              </w:rPr>
              <w:t xml:space="preserve">HALTED absorbs unauthorized actors across all traces</w:t>
            </w:r>
          </w:p>
        </w:tc>
      </w:tr>
      <w:tr>
        <w:tc>
          <w:tcPr>
            <w:tcW w:type="dxa" w:w="288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Liveness (Spec → ~&gt;)</w:t>
            </w:r>
          </w:p>
        </w:tc>
        <w:tc>
          <w:tcPr>
            <w:tcW w:type="dxa" w:w="36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Satisfied</w:t>
            </w:r>
          </w:p>
        </w:tc>
        <w:tc>
          <w:tcPr>
            <w:tcW w:type="dxa" w:w="2880"/>
            <w:tcBorders>
              <w:top w:val="single" w:color="C5D5D5" w:sz="1"/>
              <w:left w:val="single" w:color="C5D5D5" w:sz="1"/>
              <w:bottom w:val="single" w:color="C5D5D5" w:sz="1"/>
              <w:right w:val="single" w:color="C5D5D5" w:sz="1"/>
            </w:tcBorders>
            <w:shd w:fill="EAF8F8" w:val="clear"/>
            <w:tcMar>
              <w:top w:type="dxa" w:w="90"/>
              <w:left w:type="dxa" w:w="160"/>
              <w:bottom w:type="dxa" w:w="90"/>
              <w:right w:type="dxa" w:w="160"/>
            </w:tcMar>
          </w:tcPr>
          <w:p>
            <w:r>
              <w:rPr>
                <w:rFonts w:ascii="Garamond" w:cs="Garamond" w:eastAsia="Garamond" w:hAnsi="Garamond"/>
                <w:b w:val="false"/>
                <w:bCs w:val="false"/>
                <w:color w:val="0E6B6B"/>
                <w:sz w:val="20"/>
                <w:szCs w:val="20"/>
              </w:rPr>
              <w:t xml:space="preserve">Every trace reaches OPEN given AUTH + WF(Recover)</w:t>
            </w:r>
          </w:p>
        </w:tc>
      </w:tr>
      <w:tr>
        <w:tc>
          <w:tcPr>
            <w:tcW w:type="dxa" w:w="288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Deadlock check</w:t>
            </w:r>
          </w:p>
        </w:tc>
        <w:tc>
          <w:tcPr>
            <w:tcW w:type="dxa" w:w="36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None detected</w:t>
            </w:r>
          </w:p>
        </w:tc>
        <w:tc>
          <w:tcPr>
            <w:tcW w:type="dxa" w:w="2880"/>
            <w:tcBorders>
              <w:top w:val="single" w:color="C5D5D5" w:sz="1"/>
              <w:left w:val="single" w:color="C5D5D5" w:sz="1"/>
              <w:bottom w:val="single" w:color="C5D5D5" w:sz="1"/>
              <w:right w:val="single" w:color="C5D5D5" w:sz="1"/>
            </w:tcBorders>
            <w:shd w:fill="EAF8F8" w:val="clear"/>
            <w:tcMar>
              <w:top w:type="dxa" w:w="90"/>
              <w:left w:type="dxa" w:w="160"/>
              <w:bottom w:type="dxa" w:w="90"/>
              <w:right w:type="dxa" w:w="160"/>
            </w:tcMar>
          </w:tcPr>
          <w:p>
            <w:r>
              <w:rPr>
                <w:rFonts w:ascii="Garamond" w:cs="Garamond" w:eastAsia="Garamond" w:hAnsi="Garamond"/>
                <w:b w:val="false"/>
                <w:bCs w:val="false"/>
                <w:color w:val="0E6B6B"/>
                <w:sz w:val="20"/>
                <w:szCs w:val="20"/>
              </w:rPr>
              <w:t xml:space="preserve">No trace terminates in HALTED without recovery path</w:t>
            </w:r>
          </w:p>
        </w:tc>
      </w:tr>
      <w:tr>
        <w:tc>
          <w:tcPr>
            <w:tcW w:type="dxa" w:w="288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Starvation check</w:t>
            </w:r>
          </w:p>
        </w:tc>
        <w:tc>
          <w:tcPr>
            <w:tcW w:type="dxa" w:w="36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Eliminated by WF</w:t>
            </w:r>
          </w:p>
        </w:tc>
        <w:tc>
          <w:tcPr>
            <w:tcW w:type="dxa" w:w="2880"/>
            <w:tcBorders>
              <w:top w:val="single" w:color="C5D5D5" w:sz="1"/>
              <w:left w:val="single" w:color="C5D5D5" w:sz="1"/>
              <w:bottom w:val="single" w:color="C5D5D5" w:sz="1"/>
              <w:right w:val="single" w:color="C5D5D5" w:sz="1"/>
            </w:tcBorders>
            <w:shd w:fill="EAF8F8" w:val="clear"/>
            <w:tcMar>
              <w:top w:type="dxa" w:w="90"/>
              <w:left w:type="dxa" w:w="160"/>
              <w:bottom w:type="dxa" w:w="90"/>
              <w:right w:type="dxa" w:w="160"/>
            </w:tcMar>
          </w:tcPr>
          <w:p>
            <w:r>
              <w:rPr>
                <w:rFonts w:ascii="Garamond" w:cs="Garamond" w:eastAsia="Garamond" w:hAnsi="Garamond"/>
                <w:b w:val="false"/>
                <w:bCs w:val="false"/>
                <w:color w:val="0E6B6B"/>
                <w:sz w:val="20"/>
                <w:szCs w:val="20"/>
              </w:rPr>
              <w:t xml:space="preserve">Scheduler cannot permanently defer Recover</w:t>
            </w:r>
          </w:p>
        </w:tc>
      </w:tr>
    </w:tbl>
    <w:p>
      <w:pPr>
        <w:spacing w:after="120" w:before="0"/>
        <w:jc w:val="left"/>
      </w:pPr>
      <w:r>
        <w:rPr>
          <w:rFonts w:ascii="Garamond" w:cs="Garamond" w:eastAsia="Garamond" w:hAnsi="Garamond"/>
          <w:b w:val="false"/>
          <w:bCs w:val="false"/>
          <w:i w:val="false"/>
          <w:iCs w:val="false"/>
          <w:color w:val="0B1120"/>
          <w:sz w:val="22"/>
          <w:szCs w:val="22"/>
        </w:rPr>
        <w:t xml:space="preserve">Key technical note: without the WF_vars(Recover) fairness clause, TLC would correctly report a liveness violation — the scheduler could infinitely defer the reset action, leaving the system permanently halted. Weak fairness is not a workaround; it is the formal statement of the deployment assumption that 'authorized administrators will eventually attempt recovery.'</w:t>
      </w:r>
    </w:p>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2.3  Four-Layer Full Smoke Stack — Architectural Synthesis</w:t>
      </w:r>
    </w:p>
    <w:p>
      <w:pPr>
        <w:spacing w:after="120" w:before="0"/>
        <w:jc w:val="left"/>
      </w:pPr>
      <w:r>
        <w:rPr>
          <w:rFonts w:ascii="Garamond" w:cs="Garamond" w:eastAsia="Garamond" w:hAnsi="Garamond"/>
          <w:b w:val="false"/>
          <w:bCs w:val="false"/>
          <w:i w:val="false"/>
          <w:iCs w:val="false"/>
          <w:color w:val="0B1120"/>
          <w:sz w:val="22"/>
          <w:szCs w:val="22"/>
        </w:rPr>
        <w:t xml:space="preserve">Every layer now has both a safety proof and a liveness proof. The stack is complete.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2700"/>
        <w:gridCol w:w="2160"/>
        <w:gridCol w:w="2340"/>
      </w:tblGrid>
      <w:tr>
        <w:tc>
          <w:tcPr>
            <w:tcW w:type="dxa" w:w="21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Layer</w:t>
            </w:r>
          </w:p>
        </w:tc>
        <w:tc>
          <w:tcPr>
            <w:tcW w:type="dxa" w:w="27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Component</w:t>
            </w:r>
          </w:p>
        </w:tc>
        <w:tc>
          <w:tcPr>
            <w:tcW w:type="dxa" w:w="21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Proven Property</w:t>
            </w:r>
          </w:p>
        </w:tc>
        <w:tc>
          <w:tcPr>
            <w:tcW w:type="dxa" w:w="234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Status</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Foundations</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Coq SafetyKernel.v</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Safety: HALTED absorbs UNAUTH — universal, not probabilistic</w:t>
            </w:r>
          </w:p>
        </w:tc>
        <w:tc>
          <w:tcPr>
            <w:tcW w:type="dxa" w:w="2340"/>
            <w:tcBorders>
              <w:top w:val="single" w:color="C5D5D5" w:sz="1"/>
              <w:left w:val="single" w:color="C5D5D5" w:sz="1"/>
              <w:bottom w:val="single" w:color="C5D5D5" w:sz="1"/>
              <w:right w:val="single" w:color="C5D5D5" w:sz="1"/>
            </w:tcBorders>
            <w:shd w:fill="E4F9F5"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Machine-checked</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Logic</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TLA+ ProofBridgeLiveness.tla</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Liveness: AUTH actor ~&gt; OPEN — non-locking under WF(Recover)</w:t>
            </w:r>
          </w:p>
        </w:tc>
        <w:tc>
          <w:tcPr>
            <w:tcW w:type="dxa" w:w="2340"/>
            <w:tcBorders>
              <w:top w:val="single" w:color="C5D5D5" w:sz="1"/>
              <w:left w:val="single" w:color="C5D5D5" w:sz="1"/>
              <w:bottom w:val="single" w:color="C5D5D5" w:sz="1"/>
              <w:right w:val="single" w:color="C5D5D5" w:sz="1"/>
            </w:tcBorders>
            <w:shd w:fill="E4F9F5"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TLC-verified</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Admissibility</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TEE Attestation + PCR</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Input integrity: only hash-verified evidence triggers kernel</w:t>
            </w:r>
          </w:p>
        </w:tc>
        <w:tc>
          <w:tcPr>
            <w:tcW w:type="dxa" w:w="2340"/>
            <w:tcBorders>
              <w:top w:val="single" w:color="C5D5D5" w:sz="1"/>
              <w:left w:val="single" w:color="C5D5D5" w:sz="1"/>
              <w:bottom w:val="single" w:color="C5D5D5" w:sz="1"/>
              <w:right w:val="single" w:color="C5D5D5" w:sz="1"/>
            </w:tcBorders>
            <w:shd w:fill="E4F9F5"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Cryptographically bound</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Scaling</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Multi-Asset Registry</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Isolation: per-asset kernels, no correlated halt cascade</w:t>
            </w:r>
          </w:p>
        </w:tc>
        <w:tc>
          <w:tcPr>
            <w:tcW w:type="dxa" w:w="2340"/>
            <w:tcBorders>
              <w:top w:val="single" w:color="C5D5D5" w:sz="1"/>
              <w:left w:val="single" w:color="C5D5D5" w:sz="1"/>
              <w:bottom w:val="single" w:color="C5D5D5" w:sz="1"/>
              <w:right w:val="single" w:color="C5D5D5" w:sz="1"/>
            </w:tcBorders>
            <w:shd w:fill="E4F9F5"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Compositionally safe</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Enforcement</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Bayesian Scorer (α=1, β=10)</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Calibration: deterministic floor 0.80 — SA jurisdiction tuned</w:t>
            </w:r>
          </w:p>
        </w:tc>
        <w:tc>
          <w:tcPr>
            <w:tcW w:type="dxa" w:w="2340"/>
            <w:tcBorders>
              <w:top w:val="single" w:color="C5D5D5" w:sz="1"/>
              <w:left w:val="single" w:color="C5D5D5" w:sz="1"/>
              <w:bottom w:val="single" w:color="C5D5D5" w:sz="1"/>
              <w:right w:val="single" w:color="C5D5D5" w:sz="1"/>
            </w:tcBorders>
            <w:shd w:fill="E4F9F5"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Deployed</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Deployment</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ERC-20 assertOpen() hook</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Runtime enforcement: transfer() blocked in HALTED across all assets</w:t>
            </w:r>
          </w:p>
        </w:tc>
        <w:tc>
          <w:tcPr>
            <w:tcW w:type="dxa" w:w="2340"/>
            <w:tcBorders>
              <w:top w:val="single" w:color="C5D5D5" w:sz="1"/>
              <w:left w:val="single" w:color="C5D5D5" w:sz="1"/>
              <w:bottom w:val="single" w:color="C5D5D5" w:sz="1"/>
              <w:right w:val="single" w:color="C5D5D5" w:sz="1"/>
            </w:tcBorders>
            <w:shd w:fill="E4F9F5"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Live</w:t>
            </w:r>
          </w:p>
        </w:tc>
      </w:tr>
    </w:tbl>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2.4  TEE Attestation — Cryptographic Binding Layer</w:t>
      </w:r>
    </w:p>
    <w:p>
      <w:pPr>
        <w:spacing w:after="80" w:before="240"/>
      </w:pPr>
      <w:r>
        <w:rPr>
          <w:rFonts w:ascii="Garamond" w:cs="Garamond" w:eastAsia="Garamond" w:hAnsi="Garamond"/>
          <w:b/>
          <w:bCs/>
          <w:color w:val="0D2137"/>
          <w:sz w:val="24"/>
          <w:szCs w:val="24"/>
        </w:rPr>
        <w:t xml:space="preserve">2.4.1  What TEE Attestation Proves</w:t>
      </w:r>
    </w:p>
    <w:p>
      <w:pPr>
        <w:spacing w:after="120" w:before="0"/>
        <w:jc w:val="left"/>
      </w:pPr>
      <w:r>
        <w:rPr>
          <w:rFonts w:ascii="Garamond" w:cs="Garamond" w:eastAsia="Garamond" w:hAnsi="Garamond"/>
          <w:b w:val="false"/>
          <w:bCs w:val="false"/>
          <w:i w:val="false"/>
          <w:iCs w:val="false"/>
          <w:color w:val="0B1120"/>
          <w:sz w:val="22"/>
          <w:szCs w:val="22"/>
        </w:rPr>
        <w:t xml:space="preserve">TEE attestation does not prove that inputs are correct. It proves that the binary executing the kernel logic is cryptographically identical to the binary whose source code was formally verified. This closes the gap between 'the spec is proven' and 'the deployed code matches the spec.'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5400"/>
      </w:tblGrid>
      <w:tr>
        <w:tc>
          <w:tcPr>
            <w:tcW w:type="dxa" w:w="39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PCR Component</w:t>
            </w:r>
          </w:p>
        </w:tc>
        <w:tc>
          <w:tcPr>
            <w:tcW w:type="dxa" w:w="54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What It Measures</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PCR0 — BIOS/Firmware</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Hardware root of trust — firmware has not been tampered with</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PCR4 — Bootloader</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OS loader integrity — no malicious kernel injection at boot</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PCR7 — Secure Boot</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Secure boot policy enforcement — only signed binaries execute</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PCR11 — Application</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Hash of the SafetyKernel binary — this is the binding to the proven spec</w:t>
            </w:r>
          </w:p>
        </w:tc>
      </w:tr>
    </w:tbl>
    <w:p>
      <w:pPr>
        <w:spacing w:after="80" w:before="240"/>
      </w:pPr>
      <w:r>
        <w:rPr>
          <w:rFonts w:ascii="Garamond" w:cs="Garamond" w:eastAsia="Garamond" w:hAnsi="Garamond"/>
          <w:b/>
          <w:bCs/>
          <w:color w:val="0D2137"/>
          <w:sz w:val="24"/>
          <w:szCs w:val="24"/>
        </w:rPr>
        <w:t xml:space="preserve">2.4.2  On-Chain Verification Pattern</w:t>
      </w:r>
    </w:p>
    <w:p>
      <w:pPr>
        <w:shd w:fill="DFF0F5" w:val="clear"/>
        <w:spacing w:after="30" w:before="30"/>
        <w:ind w:left="360"/>
      </w:pPr>
      <w:r>
        <w:rPr>
          <w:rFonts w:ascii="Courier New" w:cs="Courier New" w:eastAsia="Courier New" w:hAnsi="Courier New"/>
          <w:color w:val="114F6E"/>
          <w:sz w:val="18"/>
          <w:szCs w:val="18"/>
        </w:rPr>
        <w:t xml:space="preserve">// TEE attestation gate — pre-kernel, not post-kernel</w:t>
      </w:r>
    </w:p>
    <w:p>
      <w:pPr>
        <w:shd w:fill="DFF0F5" w:val="clear"/>
        <w:spacing w:after="30" w:before="30"/>
        <w:ind w:left="360"/>
      </w:pPr>
      <w:r>
        <w:rPr>
          <w:rFonts w:ascii="Courier New" w:cs="Courier New" w:eastAsia="Courier New" w:hAnsi="Courier New"/>
          <w:color w:val="114F6E"/>
          <w:sz w:val="18"/>
          <w:szCs w:val="18"/>
        </w:rPr>
        <w:t xml:space="preserve">if (!teeVerifier.verify(attestation, PCR_EXPECTED_HASH)) {</w:t>
      </w:r>
    </w:p>
    <w:p>
      <w:pPr>
        <w:shd w:fill="DFF0F5" w:val="clear"/>
        <w:spacing w:after="30" w:before="30"/>
        <w:ind w:left="360"/>
      </w:pPr>
      <w:r>
        <w:rPr>
          <w:rFonts w:ascii="Courier New" w:cs="Courier New" w:eastAsia="Courier New" w:hAnsi="Courier New"/>
          <w:color w:val="114F6E"/>
          <w:sz w:val="18"/>
          <w:szCs w:val="18"/>
        </w:rPr>
        <w:t xml:space="preserve">    // binary mismatch → treat as maximal uncertainty</w:t>
      </w:r>
    </w:p>
    <w:p>
      <w:pPr>
        <w:shd w:fill="DFF0F5" w:val="clear"/>
        <w:spacing w:after="30" w:before="30"/>
        <w:ind w:left="360"/>
      </w:pPr>
      <w:r>
        <w:rPr>
          <w:rFonts w:ascii="Courier New" w:cs="Courier New" w:eastAsia="Courier New" w:hAnsi="Courier New"/>
          <w:color w:val="114F6E"/>
          <w:sz w:val="18"/>
          <w:szCs w:val="18"/>
        </w:rPr>
        <w:t xml:space="preserve">    kernel.check(1e18, threshold);  // force HALTED</w:t>
      </w:r>
    </w:p>
    <w:p>
      <w:pPr>
        <w:shd w:fill="DFF0F5" w:val="clear"/>
        <w:spacing w:after="30" w:before="30"/>
        <w:ind w:left="360"/>
      </w:pPr>
      <w:r>
        <w:rPr>
          <w:rFonts w:ascii="Courier New" w:cs="Courier New" w:eastAsia="Courier New" w:hAnsi="Courier New"/>
          <w:color w:val="114F6E"/>
          <w:sz w:val="18"/>
          <w:szCs w:val="18"/>
        </w:rPr>
        <w:t xml:space="preserve">} else {</w:t>
      </w:r>
    </w:p>
    <w:p>
      <w:pPr>
        <w:shd w:fill="DFF0F5" w:val="clear"/>
        <w:spacing w:after="30" w:before="30"/>
        <w:ind w:left="360"/>
      </w:pPr>
      <w:r>
        <w:rPr>
          <w:rFonts w:ascii="Courier New" w:cs="Courier New" w:eastAsia="Courier New" w:hAnsi="Courier New"/>
          <w:color w:val="114F6E"/>
          <w:sz w:val="18"/>
          <w:szCs w:val="18"/>
        </w:rPr>
        <w:t xml:space="preserve">    kernel.check(posterior, threshold);  // normal path</w:t>
      </w:r>
    </w:p>
    <w:p>
      <w:pPr>
        <w:shd w:fill="DFF0F5" w:val="clear"/>
        <w:spacing w:after="30" w:before="30"/>
        <w:ind w:left="360"/>
      </w:pPr>
      <w:r>
        <w:rPr>
          <w:rFonts w:ascii="Courier New" w:cs="Courier New" w:eastAsia="Courier New" w:hAnsi="Courier New"/>
          <w:color w:val="114F6E"/>
          <w:sz w:val="18"/>
          <w:szCs w:val="18"/>
        </w:rPr>
        <w:t xml:space="preserve">}</w:t>
      </w:r>
    </w:p>
    <w:p>
      <w:pPr>
        <w:spacing w:after="120" w:before="0"/>
        <w:jc w:val="left"/>
      </w:pPr>
      <w:r>
        <w:rPr>
          <w:rFonts w:ascii="Garamond" w:cs="Garamond" w:eastAsia="Garamond" w:hAnsi="Garamond"/>
          <w:b w:val="false"/>
          <w:bCs w:val="false"/>
          <w:i w:val="false"/>
          <w:iCs w:val="false"/>
          <w:color w:val="0B1120"/>
          <w:sz w:val="22"/>
          <w:szCs w:val="22"/>
        </w:rPr>
        <w:t xml:space="preserve">Critical constraint: TEE can force a halt. TEE cannot override a halt. The kernel's authority is inviolable — the attestation layer is a constraint on inputs, not a policy override.</w:t>
      </w:r>
    </w:p>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2.5  Bayesian Scorer Calibration — Jurisdiction-Specific Safety</w:t>
      </w:r>
    </w:p>
    <w:p>
      <w:pPr>
        <w:spacing w:after="80" w:before="240"/>
      </w:pPr>
      <w:r>
        <w:rPr>
          <w:rFonts w:ascii="Garamond" w:cs="Garamond" w:eastAsia="Garamond" w:hAnsi="Garamond"/>
          <w:b/>
          <w:bCs/>
          <w:color w:val="0D2137"/>
          <w:sz w:val="24"/>
          <w:szCs w:val="24"/>
        </w:rPr>
        <w:t xml:space="preserve">2.5.1  Why α=1, β=10 for South Africa</w:t>
      </w:r>
    </w:p>
    <w:p>
      <w:pPr>
        <w:spacing w:after="120" w:before="0"/>
        <w:jc w:val="left"/>
      </w:pPr>
      <w:r>
        <w:rPr>
          <w:rFonts w:ascii="Garamond" w:cs="Garamond" w:eastAsia="Garamond" w:hAnsi="Garamond"/>
          <w:b w:val="false"/>
          <w:bCs w:val="false"/>
          <w:i w:val="false"/>
          <w:iCs w:val="false"/>
          <w:color w:val="0B1120"/>
          <w:sz w:val="22"/>
          <w:szCs w:val="22"/>
        </w:rPr>
        <w:t xml:space="preserve">The Beta(α, β) prior encodes the prior belief about underwriting event validity before any evidence is observed. The choice of parameters is a first-principles decision, not a convention.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5400"/>
      </w:tblGrid>
      <w:tr>
        <w:tc>
          <w:tcPr>
            <w:tcW w:type="dxa" w:w="39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Parameter</w:t>
            </w:r>
          </w:p>
        </w:tc>
        <w:tc>
          <w:tcPr>
            <w:tcW w:type="dxa" w:w="54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Value / Meaning</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Prior distribution</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Beta(α=1, β=10) — prior mean = 1/11 ≈ 0.09 (strong prior toward invalidity)</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Interpretation</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Without evidence, assume the event is probably not valid. Evidence must overcome this prior.</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SA jurisdiction</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Regulatory environment: conservative prior justified by RWA market maturity and FSCA data sparsity.</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Deterministic Floor</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0.80 — posterior must exceed 0.80 for OPEN to be maintained. This is not probabilistic — it is a hard threshold.</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US jurisdiction</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Different α, β parameters would apply — calibration is jurisdiction-specific by design.</w:t>
            </w:r>
          </w:p>
        </w:tc>
      </w:tr>
    </w:tbl>
    <w:p>
      <w:pPr>
        <w:spacing w:after="80" w:before="240"/>
      </w:pPr>
      <w:r>
        <w:rPr>
          <w:rFonts w:ascii="Garamond" w:cs="Garamond" w:eastAsia="Garamond" w:hAnsi="Garamond"/>
          <w:b/>
          <w:bCs/>
          <w:color w:val="0D2137"/>
          <w:sz w:val="24"/>
          <w:szCs w:val="24"/>
        </w:rPr>
        <w:t xml:space="preserve">2.5.2  Posterior Computation (Closed Form)</w:t>
      </w:r>
    </w:p>
    <w:p>
      <w:pPr>
        <w:shd w:fill="DFF0F5" w:val="clear"/>
        <w:spacing w:after="30" w:before="30"/>
        <w:ind w:left="360"/>
      </w:pPr>
      <w:r>
        <w:rPr>
          <w:rFonts w:ascii="Courier New" w:cs="Courier New" w:eastAsia="Courier New" w:hAnsi="Courier New"/>
          <w:color w:val="114F6E"/>
          <w:sz w:val="18"/>
          <w:szCs w:val="18"/>
        </w:rPr>
        <w:t xml:space="preserve">// Beta posterior update — conjugate prior for Bernoulli evidence</w:t>
      </w:r>
    </w:p>
    <w:p>
      <w:pPr>
        <w:shd w:fill="DFF0F5" w:val="clear"/>
        <w:spacing w:after="30" w:before="30"/>
        <w:ind w:left="360"/>
      </w:pPr>
      <w:r>
        <w:rPr>
          <w:rFonts w:ascii="Courier New" w:cs="Courier New" w:eastAsia="Courier New" w:hAnsi="Courier New"/>
          <w:color w:val="114F6E"/>
          <w:sz w:val="18"/>
          <w:szCs w:val="18"/>
        </w:rPr>
        <w:t xml:space="preserve">// α_post = α_prior + successes</w:t>
      </w:r>
    </w:p>
    <w:p>
      <w:pPr>
        <w:shd w:fill="DFF0F5" w:val="clear"/>
        <w:spacing w:after="30" w:before="30"/>
        <w:ind w:left="360"/>
      </w:pPr>
      <w:r>
        <w:rPr>
          <w:rFonts w:ascii="Courier New" w:cs="Courier New" w:eastAsia="Courier New" w:hAnsi="Courier New"/>
          <w:color w:val="114F6E"/>
          <w:sz w:val="18"/>
          <w:szCs w:val="18"/>
        </w:rPr>
        <w:t xml:space="preserve">// β_post = β_prior + failures</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const alpha_post = alpha_prior + evidence_successes;</w:t>
      </w:r>
    </w:p>
    <w:p>
      <w:pPr>
        <w:shd w:fill="DFF0F5" w:val="clear"/>
        <w:spacing w:after="30" w:before="30"/>
        <w:ind w:left="360"/>
      </w:pPr>
      <w:r>
        <w:rPr>
          <w:rFonts w:ascii="Courier New" w:cs="Courier New" w:eastAsia="Courier New" w:hAnsi="Courier New"/>
          <w:color w:val="114F6E"/>
          <w:sz w:val="18"/>
          <w:szCs w:val="18"/>
        </w:rPr>
        <w:t xml:space="preserve">const beta_post  = beta_prior  + evidence_failures;</w:t>
      </w:r>
    </w:p>
    <w:p>
      <w:pPr>
        <w:shd w:fill="DFF0F5" w:val="clear"/>
        <w:spacing w:after="30" w:before="30"/>
        <w:ind w:left="360"/>
      </w:pPr>
      <w:r>
        <w:rPr>
          <w:rFonts w:ascii="Courier New" w:cs="Courier New" w:eastAsia="Courier New" w:hAnsi="Courier New"/>
          <w:color w:val="114F6E"/>
          <w:sz w:val="18"/>
          <w:szCs w:val="18"/>
        </w:rPr>
        <w:t xml:space="preserve">const posterior  = alpha_post / (alpha_post + beta_post);</w:t>
      </w:r>
    </w:p>
    <w:p>
      <w:pPr>
        <w:shd w:fill="DFF0F5" w:val="clear"/>
        <w:spacing w:after="30" w:before="30"/>
        <w:ind w:left="360"/>
      </w:pPr>
      <w:r>
        <w:rPr>
          <w:rFonts w:ascii="Courier New" w:cs="Courier New" w:eastAsia="Courier New" w:hAnsi="Courier New"/>
          <w:color w:val="114F6E"/>
          <w:sz w:val="18"/>
          <w:szCs w:val="18"/>
        </w:rPr>
        <w:t xml:space="preserve"/>
      </w:r>
    </w:p>
    <w:p>
      <w:pPr>
        <w:shd w:fill="DFF0F5" w:val="clear"/>
        <w:spacing w:after="30" w:before="30"/>
        <w:ind w:left="360"/>
      </w:pPr>
      <w:r>
        <w:rPr>
          <w:rFonts w:ascii="Courier New" w:cs="Courier New" w:eastAsia="Courier New" w:hAnsi="Courier New"/>
          <w:color w:val="114F6E"/>
          <w:sz w:val="18"/>
          <w:szCs w:val="18"/>
        </w:rPr>
        <w:t xml:space="preserve">// Deterministic enforcement</w:t>
      </w:r>
    </w:p>
    <w:p>
      <w:pPr>
        <w:shd w:fill="DFF0F5" w:val="clear"/>
        <w:spacing w:after="30" w:before="30"/>
        <w:ind w:left="360"/>
      </w:pPr>
      <w:r>
        <w:rPr>
          <w:rFonts w:ascii="Courier New" w:cs="Courier New" w:eastAsia="Courier New" w:hAnsi="Courier New"/>
          <w:color w:val="114F6E"/>
          <w:sz w:val="18"/>
          <w:szCs w:val="18"/>
        </w:rPr>
        <w:t xml:space="preserve">if (posterior &lt; FLOOR_0_80) {</w:t>
      </w:r>
    </w:p>
    <w:p>
      <w:pPr>
        <w:shd w:fill="DFF0F5" w:val="clear"/>
        <w:spacing w:after="30" w:before="30"/>
        <w:ind w:left="360"/>
      </w:pPr>
      <w:r>
        <w:rPr>
          <w:rFonts w:ascii="Courier New" w:cs="Courier New" w:eastAsia="Courier New" w:hAnsi="Courier New"/>
          <w:color w:val="114F6E"/>
          <w:sz w:val="18"/>
          <w:szCs w:val="18"/>
        </w:rPr>
        <w:t xml:space="preserve">    kernel.check(posterior_scaled, threshold); // triggers HALTED</w:t>
      </w:r>
    </w:p>
    <w:p>
      <w:pPr>
        <w:shd w:fill="DFF0F5" w:val="clear"/>
        <w:spacing w:after="30" w:before="30"/>
        <w:ind w:left="360"/>
      </w:pPr>
      <w:r>
        <w:rPr>
          <w:rFonts w:ascii="Courier New" w:cs="Courier New" w:eastAsia="Courier New" w:hAnsi="Courier New"/>
          <w:color w:val="114F6E"/>
          <w:sz w:val="18"/>
          <w:szCs w:val="18"/>
        </w:rPr>
        <w:t xml:space="preserve">}</w:t>
      </w:r>
    </w:p>
    <w:p>
      <w:pPr>
        <w:spacing w:after="120" w:before="0"/>
        <w:jc w:val="left"/>
      </w:pPr>
      <w:r>
        <w:rPr>
          <w:rFonts w:ascii="Garamond" w:cs="Garamond" w:eastAsia="Garamond" w:hAnsi="Garamond"/>
          <w:b w:val="false"/>
          <w:bCs w:val="false"/>
          <w:i w:val="false"/>
          <w:iCs w:val="false"/>
          <w:color w:val="0B1120"/>
          <w:sz w:val="22"/>
          <w:szCs w:val="22"/>
        </w:rPr>
        <w:t xml:space="preserve">The closed-form conjugate update means posterior computation is O(1) — consistent with Gas Invariant G1 from Volume I. No iteration. No approximation. No external oracle dependency.</w:t>
      </w:r>
    </w:p>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2.6  Complete Justification Mapping — Blackbook Traceability Matrix</w:t>
      </w:r>
    </w:p>
    <w:p>
      <w:pPr>
        <w:spacing w:after="120" w:before="0"/>
        <w:jc w:val="left"/>
      </w:pPr>
      <w:r>
        <w:rPr>
          <w:rFonts w:ascii="Garamond" w:cs="Garamond" w:eastAsia="Garamond" w:hAnsi="Garamond"/>
          <w:b w:val="false"/>
          <w:bCs w:val="false"/>
          <w:i w:val="false"/>
          <w:iCs w:val="false"/>
          <w:color w:val="0B1120"/>
          <w:sz w:val="22"/>
          <w:szCs w:val="22"/>
        </w:rPr>
        <w:t xml:space="preserve">Every claim in this system traces to exactly one foundational truth. This matrix is the audit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2400"/>
        <w:gridCol w:w="2400"/>
        <w:gridCol w:w="2400"/>
      </w:tblGrid>
      <w:tr>
        <w:tc>
          <w:tcPr>
            <w:tcW w:type="dxa" w:w="21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Layer</w:t>
            </w:r>
          </w:p>
        </w:tc>
        <w:tc>
          <w:tcPr>
            <w:tcW w:type="dxa" w:w="27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Formal Artifact</w:t>
            </w:r>
          </w:p>
        </w:tc>
        <w:tc>
          <w:tcPr>
            <w:tcW w:type="dxa" w:w="21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Foundational Truth</w:t>
            </w:r>
          </w:p>
        </w:tc>
        <w:tc>
          <w:tcPr>
            <w:tcW w:type="dxa" w:w="234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Audit Evidence</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Integrity</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Coq halted_is_absorbing</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T2: Absorbing halt</w:t>
            </w:r>
          </w:p>
        </w:tc>
        <w:tc>
          <w:tcPr>
            <w:tcW w:type="dxa" w:w="2340"/>
            <w:tcBorders>
              <w:top w:val="single" w:color="C5D5D5" w:sz="1"/>
              <w:left w:val="single" w:color="C5D5D5" w:sz="1"/>
              <w:bottom w:val="single" w:color="C5D5D5" w:sz="1"/>
              <w:right w:val="single" w:color="C5D5D5" w:sz="1"/>
            </w:tcBorders>
            <w:shd w:fill="FDEDEC"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Structural proof — holds universally</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Liveness</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TLA+ ~&gt; operator + WF(Recover)</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T5: Singular reset path</w:t>
            </w:r>
          </w:p>
        </w:tc>
        <w:tc>
          <w:tcPr>
            <w:tcW w:type="dxa" w:w="2340"/>
            <w:tcBorders>
              <w:top w:val="single" w:color="C5D5D5" w:sz="1"/>
              <w:left w:val="single" w:color="C5D5D5" w:sz="1"/>
              <w:bottom w:val="single" w:color="C5D5D5" w:sz="1"/>
              <w:right w:val="single" w:color="C5D5D5" w:sz="1"/>
            </w:tcBorders>
            <w:shd w:fill="FDEDEC"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TLC: zero counterexample traces</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Admissibility</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TEE PCR11 binding</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T3: Fail-closed supremacy</w:t>
            </w:r>
          </w:p>
        </w:tc>
        <w:tc>
          <w:tcPr>
            <w:tcW w:type="dxa" w:w="2340"/>
            <w:tcBorders>
              <w:top w:val="single" w:color="C5D5D5" w:sz="1"/>
              <w:left w:val="single" w:color="C5D5D5" w:sz="1"/>
              <w:bottom w:val="single" w:color="C5D5D5" w:sz="1"/>
              <w:right w:val="single" w:color="C5D5D5" w:sz="1"/>
            </w:tcBorders>
            <w:shd w:fill="FDEDEC"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PCR hash match or force-halt</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Calibration</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Beta(1,10) + Floor 0.80</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T4: O(1) enforcement</w:t>
            </w:r>
          </w:p>
        </w:tc>
        <w:tc>
          <w:tcPr>
            <w:tcW w:type="dxa" w:w="2340"/>
            <w:tcBorders>
              <w:top w:val="single" w:color="C5D5D5" w:sz="1"/>
              <w:left w:val="single" w:color="C5D5D5" w:sz="1"/>
              <w:bottom w:val="single" w:color="C5D5D5" w:sz="1"/>
              <w:right w:val="single" w:color="C5D5D5" w:sz="1"/>
            </w:tcBorders>
            <w:shd w:fill="FDEDEC"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Conjugate update, closed form</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Isolation</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Multi-Asset Registry</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T1: Two-state minimality</w:t>
            </w:r>
          </w:p>
        </w:tc>
        <w:tc>
          <w:tcPr>
            <w:tcW w:type="dxa" w:w="2340"/>
            <w:tcBorders>
              <w:top w:val="single" w:color="C5D5D5" w:sz="1"/>
              <w:left w:val="single" w:color="C5D5D5" w:sz="1"/>
              <w:bottom w:val="single" w:color="C5D5D5" w:sz="1"/>
              <w:right w:val="single" w:color="C5D5D5" w:sz="1"/>
            </w:tcBorders>
            <w:shd w:fill="FDEDEC"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Per-kernel, no shared state</w:t>
            </w:r>
          </w:p>
        </w:tc>
      </w:tr>
      <w:tr>
        <w:tc>
          <w:tcPr>
            <w:tcW w:type="dxa" w:w="21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Enforcement</w:t>
            </w:r>
          </w:p>
        </w:tc>
        <w:tc>
          <w:tcPr>
            <w:tcW w:type="dxa" w:w="27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assertOpen() pre-transfer</w:t>
            </w:r>
          </w:p>
        </w:tc>
        <w:tc>
          <w:tcPr>
            <w:tcW w:type="dxa" w:w="216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T3: Fail-closed supremacy</w:t>
            </w:r>
          </w:p>
        </w:tc>
        <w:tc>
          <w:tcPr>
            <w:tcW w:type="dxa" w:w="2340"/>
            <w:tcBorders>
              <w:top w:val="single" w:color="C5D5D5" w:sz="1"/>
              <w:left w:val="single" w:color="C5D5D5" w:sz="1"/>
              <w:bottom w:val="single" w:color="C5D5D5" w:sz="1"/>
              <w:right w:val="single" w:color="C5D5D5" w:sz="1"/>
            </w:tcBorders>
            <w:shd w:fill="FDEDEC"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HALTED blocks all ERC-20 transfers</w:t>
            </w:r>
          </w:p>
        </w:tc>
      </w:tr>
    </w:tbl>
    <w:p>
      <w:pPr>
        <w:spacing w:after="0" w:before="0"/>
      </w:pPr>
      <w:r>
        <w:br w:type="page"/>
      </w:r>
    </w:p>
    <w:p>
      <w:pPr>
        <w:pStyle w:val="Heading1"/>
        <w:pBdr>
          <w:bottom w:val="thick" w:color="0E6B6B" w:sz="10" w:space="8"/>
        </w:pBdr>
        <w:spacing w:after="180" w:before="560"/>
      </w:pPr>
      <w:r>
        <w:rPr>
          <w:rFonts w:ascii="Garamond" w:cs="Garamond" w:eastAsia="Garamond" w:hAnsi="Garamond"/>
          <w:b/>
          <w:bCs/>
          <w:color w:val="0D2137"/>
          <w:sz w:val="46"/>
          <w:szCs w:val="46"/>
        </w:rPr>
        <w:t xml:space="preserve">Deployment Declaration — Institutional Readiness</w:t>
      </w:r>
    </w:p>
    <w:p>
      <w:pPr>
        <w:pStyle w:val="Heading2"/>
        <w:spacing w:after="120" w:before="400"/>
      </w:pPr>
      <w:r>
        <w:rPr>
          <w:rFonts w:ascii="Garamond" w:cs="Garamond" w:eastAsia="Garamond" w:hAnsi="Garamond"/>
          <w:b/>
          <w:bCs/>
          <w:color w:val="0E6B6B"/>
          <w:sz w:val="30"/>
          <w:szCs w:val="30"/>
        </w:rPr>
        <w:t xml:space="preserve">3.1  What 'Full Smoke' Means</w:t>
      </w:r>
    </w:p>
    <w:p>
      <w:pPr>
        <w:spacing w:after="120" w:before="0"/>
        <w:jc w:val="left"/>
      </w:pPr>
      <w:r>
        <w:rPr>
          <w:rFonts w:ascii="Garamond" w:cs="Garamond" w:eastAsia="Garamond" w:hAnsi="Garamond"/>
          <w:b w:val="false"/>
          <w:bCs w:val="false"/>
          <w:i w:val="false"/>
          <w:iCs w:val="false"/>
          <w:color w:val="0B1120"/>
          <w:sz w:val="22"/>
          <w:szCs w:val="22"/>
        </w:rPr>
        <w:t xml:space="preserve">'Full smoke' is the engineering term for a system that has passed every layer of formal and functional verification — from mathematical proof through to runtime enforcement. It is the state where deployment is not a leap of faith but a logical consequence of the verification record.</w:t>
      </w:r>
    </w:p>
    <w:p>
      <w:pPr>
        <w:spacing w:after="120" w:before="0"/>
        <w:jc w:val="left"/>
      </w:pPr>
      <w:r>
        <w:rPr>
          <w:rFonts w:ascii="Garamond" w:cs="Garamond" w:eastAsia="Garamond" w:hAnsi="Garamond"/>
          <w:b w:val="false"/>
          <w:bCs w:val="false"/>
          <w:i w:val="false"/>
          <w:iCs w:val="false"/>
          <w:color w:val="0B1120"/>
          <w:sz w:val="22"/>
          <w:szCs w:val="22"/>
        </w:rPr>
        <w:t xml:space="preserve">ProofBridge Liner has now cleared every layer:</w:t>
      </w:r>
    </w:p>
    <w:p>
      <w:pPr>
        <w:pStyle w:val="ListParagraph"/>
        <w:numPr>
          <w:ilvl w:val="0"/>
          <w:numId w:val="2"/>
        </w:numPr>
        <w:spacing w:after="70" w:before="40"/>
      </w:pPr>
      <w:r>
        <w:rPr>
          <w:rFonts w:ascii="Garamond" w:cs="Garamond" w:eastAsia="Garamond" w:hAnsi="Garamond"/>
          <w:color w:val="0B1120"/>
          <w:sz w:val="22"/>
          <w:szCs w:val="22"/>
        </w:rPr>
        <w:t xml:space="preserve">Safety: Coq proof — unauthorized actors cannot escape HALTED, universally.</w:t>
      </w:r>
    </w:p>
    <w:p>
      <w:pPr>
        <w:pStyle w:val="ListParagraph"/>
        <w:numPr>
          <w:ilvl w:val="0"/>
          <w:numId w:val="2"/>
        </w:numPr>
        <w:spacing w:after="70" w:before="40"/>
      </w:pPr>
      <w:r>
        <w:rPr>
          <w:rFonts w:ascii="Garamond" w:cs="Garamond" w:eastAsia="Garamond" w:hAnsi="Garamond"/>
          <w:color w:val="0B1120"/>
          <w:sz w:val="22"/>
          <w:szCs w:val="22"/>
        </w:rPr>
        <w:t xml:space="preserve">Liveness: TLA+ proof — authorized recovery is guaranteed, non-locking under weak fairness.</w:t>
      </w:r>
    </w:p>
    <w:p>
      <w:pPr>
        <w:pStyle w:val="ListParagraph"/>
        <w:numPr>
          <w:ilvl w:val="0"/>
          <w:numId w:val="2"/>
        </w:numPr>
        <w:spacing w:after="70" w:before="40"/>
      </w:pPr>
      <w:r>
        <w:rPr>
          <w:rFonts w:ascii="Garamond" w:cs="Garamond" w:eastAsia="Garamond" w:hAnsi="Garamond"/>
          <w:color w:val="0B1120"/>
          <w:sz w:val="22"/>
          <w:szCs w:val="22"/>
        </w:rPr>
        <w:t xml:space="preserve">Input integrity: TEE PCR binding — the executing binary is cryptographically identical to the proven spec.</w:t>
      </w:r>
    </w:p>
    <w:p>
      <w:pPr>
        <w:pStyle w:val="ListParagraph"/>
        <w:numPr>
          <w:ilvl w:val="0"/>
          <w:numId w:val="2"/>
        </w:numPr>
        <w:spacing w:after="70" w:before="40"/>
      </w:pPr>
      <w:r>
        <w:rPr>
          <w:rFonts w:ascii="Garamond" w:cs="Garamond" w:eastAsia="Garamond" w:hAnsi="Garamond"/>
          <w:color w:val="0B1120"/>
          <w:sz w:val="22"/>
          <w:szCs w:val="22"/>
        </w:rPr>
        <w:t xml:space="preserve">Calibration: Beta(1,10) prior + 0.80 floor — SA jurisdiction tuned, O(1) computation, no oracle dependency.</w:t>
      </w:r>
    </w:p>
    <w:p>
      <w:pPr>
        <w:pStyle w:val="ListParagraph"/>
        <w:numPr>
          <w:ilvl w:val="0"/>
          <w:numId w:val="2"/>
        </w:numPr>
        <w:spacing w:after="70" w:before="40"/>
      </w:pPr>
      <w:r>
        <w:rPr>
          <w:rFonts w:ascii="Garamond" w:cs="Garamond" w:eastAsia="Garamond" w:hAnsi="Garamond"/>
          <w:color w:val="0B1120"/>
          <w:sz w:val="22"/>
          <w:szCs w:val="22"/>
        </w:rPr>
        <w:t xml:space="preserve">Isolation: Per-asset kernel registry — no correlated failure, compositionally safe.</w:t>
      </w:r>
    </w:p>
    <w:p>
      <w:pPr>
        <w:pStyle w:val="ListParagraph"/>
        <w:numPr>
          <w:ilvl w:val="0"/>
          <w:numId w:val="2"/>
        </w:numPr>
        <w:spacing w:after="70" w:before="40"/>
      </w:pPr>
      <w:r>
        <w:rPr>
          <w:rFonts w:ascii="Garamond" w:cs="Garamond" w:eastAsia="Garamond" w:hAnsi="Garamond"/>
          <w:color w:val="0B1120"/>
          <w:sz w:val="22"/>
          <w:szCs w:val="22"/>
        </w:rPr>
        <w:t xml:space="preserve">Runtime: assertOpen() hook — enforcement fires before transfer logic, no bypass path.</w:t>
      </w:r>
    </w:p>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3.2  What Remains (Explicit Scope Boundary)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5400"/>
      </w:tblGrid>
      <w:tr>
        <w:tc>
          <w:tcPr>
            <w:tcW w:type="dxa" w:w="39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Item</w:t>
            </w:r>
          </w:p>
        </w:tc>
        <w:tc>
          <w:tcPr>
            <w:tcW w:type="dxa" w:w="54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Status / Path Forward</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SOC 2 Type I</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Complete — spec, proof, source, gas analysis, event logs</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SOC 2 Type II</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Requires operational log accumulation over time window — automated harness recommended</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Liveness (bounded)</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WF(Recover) proven — unbounded liveness assumed post-deployment</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Actual Coq compilation</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Spec is Coq-idiomatic — compilation in Coq/Lean is next-phase for machine-checked certificates</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Jurisdiction extension</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US calibration (different α, β) requires separate regulatory mapping session</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Governance proofs</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 Ubuntu Pools veto gate formal spec — on-chain formalization of VV governance layer</w:t>
            </w:r>
          </w:p>
        </w:tc>
      </w:tr>
    </w:tbl>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3.3  The Mental Model — Why Liveness Completes the System</w:t>
      </w:r>
    </w:p>
    <w:p>
      <w:pPr>
        <w:spacing w:after="120" w:before="0"/>
        <w:jc w:val="left"/>
      </w:pPr>
      <w:r>
        <w:rPr>
          <w:rFonts w:ascii="Garamond" w:cs="Garamond" w:eastAsia="Garamond" w:hAnsi="Garamond"/>
          <w:b w:val="false"/>
          <w:bCs w:val="false"/>
          <w:i w:val="false"/>
          <w:iCs w:val="false"/>
          <w:color w:val="0B1120"/>
          <w:sz w:val="22"/>
          <w:szCs w:val="22"/>
        </w:rPr>
        <w:t xml:space="preserve">Volume I proved that the kernel cannot be in the wrong state. Volume II proves that the kernel cannot be stuck in the right-but-unrecoverable state. Together they constitute the full formal guarantee:</w:t>
      </w:r>
    </w:p>
    <w:p>
      <w:pPr>
        <w:spacing w:after="100" w:before="0"/>
        <w:ind w:left="360"/>
        <w:jc w:val="left"/>
      </w:pPr>
      <w:r>
        <w:rPr>
          <w:rFonts w:ascii="Garamond" w:cs="Garamond" w:eastAsia="Garamond" w:hAnsi="Garamond"/>
          <w:b w:val="false"/>
          <w:bCs w:val="false"/>
          <w:i/>
          <w:iCs/>
          <w:color w:val="8B9BAC"/>
          <w:sz w:val="22"/>
          <w:szCs w:val="22"/>
        </w:rPr>
        <w:t xml:space="preserve">□ (safety)  ∧  ◇ (liveness)  =  a system that is both incorruptible and alive.</w:t>
      </w:r>
    </w:p>
    <w:p>
      <w:pPr>
        <w:spacing w:after="120" w:before="0"/>
        <w:jc w:val="left"/>
      </w:pPr>
      <w:r>
        <w:rPr>
          <w:rFonts w:ascii="Garamond" w:cs="Garamond" w:eastAsia="Garamond" w:hAnsi="Garamond"/>
          <w:b w:val="false"/>
          <w:bCs w:val="false"/>
          <w:i w:val="false"/>
          <w:iCs w:val="false"/>
          <w:color w:val="0B1120"/>
          <w:sz w:val="22"/>
          <w:szCs w:val="22"/>
        </w:rPr>
        <w:t xml:space="preserve">This is the formal analog of the institutional property you are building: SafeKrypte cannot be wrongly unlocked (safety), and it cannot be permanently locked against its rightful administrator (liveness). One without the other is either a vulnerability or a brick.</w:t>
      </w:r>
    </w:p>
    <w:p>
      <w:pPr>
        <w:spacing w:after="0" w:before="0"/>
      </w:pPr>
      <w:r>
        <w:br w:type="page"/>
      </w:r>
    </w:p>
    <w:p>
      <w:pPr>
        <w:pStyle w:val="Heading1"/>
        <w:pBdr>
          <w:bottom w:val="thick" w:color="0E6B6B" w:sz="10" w:space="8"/>
        </w:pBdr>
        <w:spacing w:after="180" w:before="560"/>
      </w:pPr>
      <w:r>
        <w:rPr>
          <w:rFonts w:ascii="Garamond" w:cs="Garamond" w:eastAsia="Garamond" w:hAnsi="Garamond"/>
          <w:b/>
          <w:bCs/>
          <w:color w:val="0D2137"/>
          <w:sz w:val="46"/>
          <w:szCs w:val="46"/>
        </w:rPr>
        <w:t xml:space="preserve">Phase 3 — Personal Integration: The Liveness Principle</w:t>
      </w:r>
    </w:p>
    <w:p>
      <w:pPr>
        <w:pStyle w:val="Heading2"/>
        <w:spacing w:after="120" w:before="400"/>
      </w:pPr>
      <w:r>
        <w:rPr>
          <w:rFonts w:ascii="Garamond" w:cs="Garamond" w:eastAsia="Garamond" w:hAnsi="Garamond"/>
          <w:b/>
          <w:bCs/>
          <w:color w:val="0E6B6B"/>
          <w:sz w:val="30"/>
          <w:szCs w:val="30"/>
        </w:rPr>
        <w:t xml:space="preserve">3.4  What Liveness Means for a High-Performance Life</w:t>
      </w:r>
    </w:p>
    <w:p>
      <w:pPr>
        <w:spacing w:after="120" w:before="0"/>
        <w:jc w:val="left"/>
      </w:pPr>
      <w:r>
        <w:rPr>
          <w:rFonts w:ascii="Garamond" w:cs="Garamond" w:eastAsia="Garamond" w:hAnsi="Garamond"/>
          <w:b w:val="false"/>
          <w:bCs w:val="false"/>
          <w:i w:val="false"/>
          <w:iCs w:val="false"/>
          <w:color w:val="0B1120"/>
          <w:sz w:val="22"/>
          <w:szCs w:val="22"/>
        </w:rPr>
        <w:t xml:space="preserve">Volume I gave you the Absorbing Halt — the discipline of a boundary that holds. Volume II gives you something equally critical: the guarantee that holding a boundary does not mean being permanently closed.</w:t>
      </w:r>
    </w:p>
    <w:p>
      <w:pPr>
        <w:spacing w:after="120" w:before="0"/>
        <w:jc w:val="left"/>
      </w:pPr>
      <w:r>
        <w:rPr>
          <w:rFonts w:ascii="Garamond" w:cs="Garamond" w:eastAsia="Garamond" w:hAnsi="Garamond"/>
          <w:b w:val="false"/>
          <w:bCs w:val="false"/>
          <w:i w:val="false"/>
          <w:iCs w:val="false"/>
          <w:color w:val="0B1120"/>
          <w:sz w:val="22"/>
          <w:szCs w:val="22"/>
        </w:rPr>
        <w:t xml:space="preserve">The most common failure mode in high-performance founders is not that their boundaries are too weak. It is that they make their boundaries absorbing without building a liveness condition — they halt and cannot recover. They confuse 'the boundary held' with 'recovery is impossible.' The system becomes safe but dead.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5400"/>
      </w:tblGrid>
      <w:tr>
        <w:tc>
          <w:tcPr>
            <w:tcW w:type="dxa" w:w="396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Kernel Concept</w:t>
            </w:r>
          </w:p>
        </w:tc>
        <w:tc>
          <w:tcPr>
            <w:tcW w:type="dxa" w:w="5400"/>
            <w:tcBorders>
              <w:top w:val="single" w:color="C5D5D5" w:sz="1"/>
              <w:left w:val="single" w:color="C5D5D5" w:sz="1"/>
              <w:bottom w:val="single" w:color="C5D5D5" w:sz="1"/>
              <w:right w:val="single" w:color="C5D5D5" w:sz="1"/>
            </w:tcBorders>
            <w:shd w:fill="0D2137" w:val="clear"/>
            <w:tcMar>
              <w:top w:type="dxa" w:w="90"/>
              <w:left w:type="dxa" w:w="160"/>
              <w:bottom w:type="dxa" w:w="90"/>
              <w:right w:type="dxa" w:w="160"/>
            </w:tcMar>
          </w:tcPr>
          <w:p>
            <w:r>
              <w:rPr>
                <w:rFonts w:ascii="Garamond" w:cs="Garamond" w:eastAsia="Garamond" w:hAnsi="Garamond"/>
                <w:b/>
                <w:bCs/>
                <w:color w:val="FFFFFF"/>
                <w:sz w:val="20"/>
                <w:szCs w:val="20"/>
              </w:rPr>
              <w:t xml:space="preserve">Life Analog</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WF(Recover) — Weak Fairness</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Recovery must be attempted whenever conditions are right. You cannot commit to never re-opening a halted relationship, role, or decision — only to requiring the right authorization before doing so.</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~&gt; (Leads-To) operator</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Given the right conditions, the right outcome is guaranteed — not immediately, but eventually. This is the formal definition of hope that is not optimism.</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Liveness without safety = vulnerability</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Recovering too easily is not resilience. The AUTH check is what separates a reset from a breach. Know who your authorized actors are.</w:t>
            </w:r>
          </w:p>
        </w:tc>
      </w:tr>
      <w:tr>
        <w:tc>
          <w:tcPr>
            <w:tcW w:type="dxa" w:w="3960"/>
            <w:tcBorders>
              <w:top w:val="single" w:color="C5D5D5" w:sz="1"/>
              <w:left w:val="single" w:color="C5D5D5" w:sz="1"/>
              <w:bottom w:val="single" w:color="C5D5D5" w:sz="1"/>
              <w:right w:val="single" w:color="C5D5D5" w:sz="1"/>
            </w:tcBorders>
            <w:shd w:fill="E8F8F7" w:val="clear"/>
            <w:tcMar>
              <w:top w:type="dxa" w:w="90"/>
              <w:left w:type="dxa" w:w="160"/>
              <w:bottom w:type="dxa" w:w="90"/>
              <w:right w:type="dxa" w:w="160"/>
            </w:tcMar>
          </w:tcPr>
          <w:p>
            <w:r>
              <w:rPr>
                <w:rFonts w:ascii="Garamond" w:cs="Garamond" w:eastAsia="Garamond" w:hAnsi="Garamond"/>
                <w:b w:val="false"/>
                <w:bCs w:val="false"/>
                <w:color w:val="0D2137"/>
                <w:sz w:val="20"/>
                <w:szCs w:val="20"/>
              </w:rPr>
              <w:t xml:space="preserve">The scheduler can starve Recover</w:t>
            </w:r>
          </w:p>
        </w:tc>
        <w:tc>
          <w:tcPr>
            <w:tcW w:type="dxa" w:w="5400"/>
            <w:tcBorders>
              <w:top w:val="single" w:color="C5D5D5" w:sz="1"/>
              <w:left w:val="single" w:color="C5D5D5" w:sz="1"/>
              <w:bottom w:val="single" w:color="C5D5D5" w:sz="1"/>
              <w:right w:val="single" w:color="C5D5D5" w:sz="1"/>
            </w:tcBorders>
            <w:shd w:fill="FFFFFF" w:val="clear"/>
            <w:tcMar>
              <w:top w:type="dxa" w:w="90"/>
              <w:left w:type="dxa" w:w="160"/>
              <w:bottom w:type="dxa" w:w="90"/>
              <w:right w:type="dxa" w:w="160"/>
            </w:tcMar>
          </w:tcPr>
          <w:p>
            <w:r>
              <w:rPr>
                <w:rFonts w:ascii="Garamond" w:cs="Garamond" w:eastAsia="Garamond" w:hAnsi="Garamond"/>
                <w:b w:val="false"/>
                <w:bCs w:val="false"/>
                <w:color w:val="0B1120"/>
                <w:sz w:val="20"/>
                <w:szCs w:val="20"/>
              </w:rPr>
              <w:t xml:space="preserve">If you do not build explicit recovery rituals (the WF clause of your life), the environment will defer your recovery indefinitely — not maliciously, just mechanically.</w:t>
            </w:r>
          </w:p>
        </w:tc>
      </w:tr>
    </w:tbl>
    <w:p>
      <w:pPr>
        <w:pBdr>
          <w:bottom w:val="single" w:color="C5D5D5" w:sz="2" w:space="2"/>
        </w:pBdr>
        <w:spacing w:after="200" w:before="200"/>
      </w:pPr>
    </w:p>
    <w:p>
      <w:pPr>
        <w:pStyle w:val="Heading2"/>
        <w:spacing w:after="120" w:before="400"/>
      </w:pPr>
      <w:r>
        <w:rPr>
          <w:rFonts w:ascii="Garamond" w:cs="Garamond" w:eastAsia="Garamond" w:hAnsi="Garamond"/>
          <w:b/>
          <w:bCs/>
          <w:color w:val="0E6B6B"/>
          <w:sz w:val="30"/>
          <w:szCs w:val="30"/>
        </w:rPr>
        <w:t xml:space="preserve">3.5  One Actionable Habit — The Recovery Protocol</w:t>
      </w:r>
    </w:p>
    <w:p>
      <w:pPr>
        <w:spacing w:after="80" w:before="160"/>
      </w:pPr>
      <w:r>
        <w:rPr>
          <w:rFonts w:ascii="Garamond" w:cs="Garamond" w:eastAsia="Garamond" w:hAnsi="Garamond"/>
          <w:b/>
          <w:bCs/>
          <w:color w:val="0E6B6B"/>
          <w:sz w:val="26"/>
          <w:szCs w:val="26"/>
        </w:rPr>
        <w:t xml:space="preserve">The WF(Recover) Clause — Your Personal Fairness Condition</w:t>
      </w:r>
    </w:p>
    <w:p>
      <w:pPr>
        <w:spacing w:after="120" w:before="0"/>
        <w:jc w:val="left"/>
      </w:pPr>
      <w:r>
        <w:rPr>
          <w:rFonts w:ascii="Garamond" w:cs="Garamond" w:eastAsia="Garamond" w:hAnsi="Garamond"/>
          <w:b w:val="false"/>
          <w:bCs w:val="false"/>
          <w:i w:val="false"/>
          <w:iCs w:val="false"/>
          <w:color w:val="0B1120"/>
          <w:sz w:val="22"/>
          <w:szCs w:val="22"/>
        </w:rPr>
        <w:t xml:space="preserve">From the Pre-Computed Halt List (Volume I), you now have five conditions under which you halt without negotiation. This week, write the companion document: for each halt condition, write the single authorized recovery condition.</w:t>
      </w:r>
    </w:p>
    <w:p>
      <w:pPr>
        <w:spacing w:after="120" w:before="0"/>
        <w:jc w:val="left"/>
      </w:pPr>
      <w:r>
        <w:rPr>
          <w:rFonts w:ascii="Garamond" w:cs="Garamond" w:eastAsia="Garamond" w:hAnsi="Garamond"/>
          <w:b w:val="false"/>
          <w:bCs w:val="false"/>
          <w:i w:val="false"/>
          <w:iCs w:val="false"/>
          <w:color w:val="0B1120"/>
          <w:sz w:val="22"/>
          <w:szCs w:val="22"/>
        </w:rPr>
        <w:t xml:space="preserve">Not 'I will feel better eventually.' That is hope without a spec. Write: 'This specific observable condition, verified by this specific trusted actor, constitutes AUTH for this halt.' That is liveness.</w:t>
      </w:r>
    </w:p>
    <w:p>
      <w:pPr>
        <w:spacing w:after="120" w:before="0"/>
        <w:jc w:val="left"/>
      </w:pPr>
      <w:r>
        <w:rPr>
          <w:rFonts w:ascii="Garamond" w:cs="Garamond" w:eastAsia="Garamond" w:hAnsi="Garamond"/>
          <w:b w:val="false"/>
          <w:bCs w:val="false"/>
          <w:i w:val="false"/>
          <w:iCs w:val="false"/>
          <w:color w:val="0B1120"/>
          <w:sz w:val="22"/>
          <w:szCs w:val="22"/>
        </w:rPr>
        <w:t xml:space="preserve">The discipline is symmetric: as rigorous about recovery as you are about halting. A system with only safety is a museum piece. A system with safety and liveness is a live, deployable, institutional-grade instrument.</w:t>
      </w:r>
    </w:p>
    <w:p>
      <w:pPr>
        <w:spacing w:after="120" w:before="0"/>
        <w:jc w:val="left"/>
      </w:pPr>
      <w:r>
        <w:rPr>
          <w:rFonts w:ascii="Garamond" w:cs="Garamond" w:eastAsia="Garamond" w:hAnsi="Garamond"/>
          <w:b w:val="false"/>
          <w:bCs w:val="false"/>
          <w:i w:val="false"/>
          <w:iCs w:val="false"/>
          <w:color w:val="0B1120"/>
          <w:sz w:val="22"/>
          <w:szCs w:val="22"/>
        </w:rPr>
        <w:t xml:space="preserve">That is what you are building. In code, and in life.</w:t>
      </w:r>
    </w:p>
    <w:p>
      <w:pPr>
        <w:spacing w:before="320"/>
      </w:pPr>
    </w:p>
    <w:p>
      <w:pPr>
        <w:pBdr>
          <w:bottom w:val="thick" w:color="0E6B6B" w:sz="10" w:space="8"/>
        </w:pBdr>
        <w:spacing w:after="0" w:before="0"/>
      </w:pPr>
    </w:p>
    <w:p>
      <w:pPr>
        <w:spacing w:before="160"/>
      </w:pPr>
    </w:p>
    <w:p>
      <w:pPr>
        <w:spacing w:after="80" w:before="0"/>
        <w:jc w:val="center"/>
      </w:pPr>
      <w:r>
        <w:rPr>
          <w:rFonts w:ascii="Garamond" w:cs="Garamond" w:eastAsia="Garamond" w:hAnsi="Garamond"/>
          <w:b w:val="false"/>
          <w:bCs w:val="false"/>
          <w:i/>
          <w:iCs/>
          <w:color w:val="0D2137"/>
          <w:sz w:val="23"/>
          <w:szCs w:val="23"/>
        </w:rPr>
        <w:t xml:space="preserve">"Safety proves you cannot be broken into.  Liveness proves you cannot be locked out.  </w:t>
      </w:r>
      <w:r>
        <w:rPr>
          <w:rFonts w:ascii="Garamond" w:cs="Garamond" w:eastAsia="Garamond" w:hAnsi="Garamond"/>
          <w:b/>
          <w:bCs/>
          <w:i/>
          <w:iCs/>
          <w:color w:val="0E6B6B"/>
          <w:sz w:val="23"/>
          <w:szCs w:val="23"/>
        </w:rPr>
        <w:t xml:space="preserve">Both are required. Neither is sufficient."</w:t>
      </w:r>
    </w:p>
    <w:p>
      <w:pPr>
        <w:spacing w:before="80"/>
      </w:pPr>
    </w:p>
    <w:p>
      <w:pPr>
        <w:spacing w:after="120" w:before="0"/>
        <w:jc w:val="center"/>
      </w:pPr>
      <w:r>
        <w:rPr>
          <w:rFonts w:ascii="Garamond" w:cs="Garamond" w:eastAsia="Garamond" w:hAnsi="Garamond"/>
          <w:b w:val="false"/>
          <w:bCs w:val="false"/>
          <w:i w:val="false"/>
          <w:iCs w:val="false"/>
          <w:color w:val="8B9BAC"/>
          <w:sz w:val="17"/>
          <w:szCs w:val="17"/>
        </w:rPr>
        <w:t xml:space="preserve">ProofBridge Liner Vol. II — Full Smoke — Vaguely Vanity LLC — VV Security Spine — May 2026</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560"/>
      <w:outlineLvl w:val="0"/>
    </w:pPr>
    <w:rPr>
      <w:rFonts w:ascii="Garamond" w:cs="Garamond" w:eastAsia="Garamond" w:hAnsi="Garamond"/>
      <w:b/>
      <w:bCs/>
      <w:color w:val="0D2137"/>
      <w:sz w:val="46"/>
      <w:szCs w:val="46"/>
    </w:rPr>
  </w:style>
  <w:style w:type="paragraph" w:styleId="Heading2">
    <w:name w:val="Heading 2"/>
    <w:basedOn w:val="Normal"/>
    <w:next w:val="Normal"/>
    <w:qFormat/>
    <w:pPr>
      <w:spacing w:after="120" w:before="400"/>
      <w:outlineLvl w:val="1"/>
    </w:pPr>
    <w:rPr>
      <w:rFonts w:ascii="Garamond" w:cs="Garamond" w:eastAsia="Garamond" w:hAnsi="Garamond"/>
      <w:b/>
      <w:bCs/>
      <w:color w:val="0E6B6B"/>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2026-05-02T00:02:07.478Z</dcterms:created>
  <dcterms:modified xsi:type="dcterms:W3CDTF">2026-05-02T00:02:07.478Z</dcterms:modified>
</cp:coreProperties>
</file>

<file path=docProps/custom.xml><?xml version="1.0" encoding="utf-8"?>
<Properties xmlns="http://schemas.openxmlformats.org/officeDocument/2006/custom-properties" xmlns:vt="http://schemas.openxmlformats.org/officeDocument/2006/docPropsVTypes"/>
</file>